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535B7" w:rsidRDefault="00D41960" w:rsidP="00D41960">
      <w:pPr>
        <w:jc w:val="center"/>
        <w:rPr>
          <w:b/>
        </w:rPr>
      </w:pPr>
      <w:r w:rsidRPr="007535B7">
        <w:rPr>
          <w:b/>
        </w:rPr>
        <w:t>ИНФОРМАЦИОННЫЙ ОБЗОР ПРЕССЫ</w:t>
      </w:r>
    </w:p>
    <w:p w:rsidR="00D41960" w:rsidRPr="007535B7" w:rsidRDefault="00D41960" w:rsidP="00757581">
      <w:pPr>
        <w:rPr>
          <w:b/>
        </w:rPr>
      </w:pPr>
    </w:p>
    <w:p w:rsidR="00E22522" w:rsidRPr="007535B7" w:rsidRDefault="00334AEF" w:rsidP="002E19AE">
      <w:pPr>
        <w:pBdr>
          <w:bottom w:val="single" w:sz="6" w:space="0" w:color="auto"/>
        </w:pBdr>
        <w:jc w:val="center"/>
        <w:rPr>
          <w:b/>
        </w:rPr>
      </w:pPr>
      <w:r w:rsidRPr="007535B7">
        <w:rPr>
          <w:b/>
        </w:rPr>
        <w:t>11</w:t>
      </w:r>
      <w:r w:rsidR="00EF221A" w:rsidRPr="007535B7">
        <w:rPr>
          <w:b/>
        </w:rPr>
        <w:t>.</w:t>
      </w:r>
      <w:r w:rsidR="00181AB5" w:rsidRPr="007535B7">
        <w:rPr>
          <w:b/>
        </w:rPr>
        <w:t>0</w:t>
      </w:r>
      <w:r w:rsidR="001E32C9" w:rsidRPr="007535B7">
        <w:rPr>
          <w:b/>
        </w:rPr>
        <w:t>8</w:t>
      </w:r>
      <w:r w:rsidR="00507DE6" w:rsidRPr="007535B7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334AEF" w:rsidRDefault="00334AEF" w:rsidP="00852223">
      <w:pPr>
        <w:pStyle w:val="a7"/>
        <w:jc w:val="both"/>
        <w:rPr>
          <w:b/>
        </w:rPr>
      </w:pPr>
    </w:p>
    <w:p w:rsidR="00852223" w:rsidRPr="004D5B9A" w:rsidRDefault="00852223" w:rsidP="00852223">
      <w:pPr>
        <w:pStyle w:val="a7"/>
        <w:jc w:val="both"/>
        <w:rPr>
          <w:b/>
        </w:rPr>
      </w:pPr>
      <w:r w:rsidRPr="004D5B9A">
        <w:rPr>
          <w:b/>
        </w:rPr>
        <w:t xml:space="preserve">Правительство согласовало концессию о строительстве ж/д инфраструктуры </w:t>
      </w:r>
    </w:p>
    <w:p w:rsidR="00852223" w:rsidRDefault="00852223" w:rsidP="00852223">
      <w:pPr>
        <w:pStyle w:val="a7"/>
        <w:jc w:val="both"/>
      </w:pPr>
      <w:r>
        <w:t>Правительство согласовало существенные условия концессионного соглашения между «</w:t>
      </w:r>
      <w:proofErr w:type="spellStart"/>
      <w:r>
        <w:t>Росжелдором</w:t>
      </w:r>
      <w:proofErr w:type="spellEnd"/>
      <w:r>
        <w:t>» и ЗАО «</w:t>
      </w:r>
      <w:proofErr w:type="spellStart"/>
      <w:r>
        <w:t>Таманьнефтегаз</w:t>
      </w:r>
      <w:proofErr w:type="spellEnd"/>
      <w:r>
        <w:t>» о строительстве железнодорожной инфраструктуры на Таманском полуострове. Текст постановления опубликован сегодня на официальном сайте Правительства Российской Федерации.</w:t>
      </w:r>
    </w:p>
    <w:p w:rsidR="00852223" w:rsidRDefault="00852223" w:rsidP="00852223">
      <w:pPr>
        <w:pStyle w:val="a7"/>
        <w:jc w:val="both"/>
      </w:pPr>
      <w:hyperlink r:id="rId6" w:history="1">
        <w:r w:rsidRPr="005B3B13">
          <w:rPr>
            <w:rStyle w:val="a3"/>
          </w:rPr>
          <w:t>https://rg.ru/2016/08/10/pravitelstvo-soglasovalo-koncessiiu-o-stroitelstve-zhd-infrastruktury.html</w:t>
        </w:r>
      </w:hyperlink>
    </w:p>
    <w:p w:rsidR="004D5B9A" w:rsidRDefault="004D5B9A" w:rsidP="004D5B9A">
      <w:pPr>
        <w:pStyle w:val="a7"/>
        <w:jc w:val="both"/>
      </w:pPr>
    </w:p>
    <w:p w:rsidR="00852223" w:rsidRDefault="00852223" w:rsidP="00852223">
      <w:pPr>
        <w:pStyle w:val="a7"/>
        <w:jc w:val="both"/>
      </w:pPr>
    </w:p>
    <w:p w:rsidR="00852223" w:rsidRPr="004D5B9A" w:rsidRDefault="00852223" w:rsidP="00852223">
      <w:pPr>
        <w:pStyle w:val="a7"/>
        <w:jc w:val="both"/>
        <w:rPr>
          <w:b/>
        </w:rPr>
      </w:pPr>
      <w:proofErr w:type="spellStart"/>
      <w:r w:rsidRPr="004D5B9A">
        <w:rPr>
          <w:b/>
        </w:rPr>
        <w:t>Инвестпроекты</w:t>
      </w:r>
      <w:proofErr w:type="spellEnd"/>
      <w:r w:rsidRPr="004D5B9A">
        <w:rPr>
          <w:b/>
        </w:rPr>
        <w:t xml:space="preserve"> на 1,16 </w:t>
      </w:r>
      <w:proofErr w:type="gramStart"/>
      <w:r w:rsidRPr="004D5B9A">
        <w:rPr>
          <w:b/>
        </w:rPr>
        <w:t>трлн</w:t>
      </w:r>
      <w:proofErr w:type="gramEnd"/>
      <w:r w:rsidRPr="004D5B9A">
        <w:rPr>
          <w:b/>
        </w:rPr>
        <w:t xml:space="preserve"> рублей реализуют на Дальнем Востоке к 2024 году</w:t>
      </w:r>
    </w:p>
    <w:p w:rsidR="00852223" w:rsidRDefault="00852223" w:rsidP="00852223">
      <w:pPr>
        <w:pStyle w:val="a7"/>
        <w:jc w:val="both"/>
      </w:pPr>
      <w:r>
        <w:t>По данным министра, наибольший вклад в инвестиционное развитие вносят такие проекты, как строительство Нижне-</w:t>
      </w:r>
      <w:proofErr w:type="spellStart"/>
      <w:r>
        <w:t>Бурейской</w:t>
      </w:r>
      <w:proofErr w:type="spellEnd"/>
      <w:r>
        <w:t xml:space="preserve"> ГЭС и </w:t>
      </w:r>
      <w:proofErr w:type="spellStart"/>
      <w:r>
        <w:t>Усть-Среднеканской</w:t>
      </w:r>
      <w:proofErr w:type="spellEnd"/>
      <w:r>
        <w:t xml:space="preserve"> ГЭС, космодрома «Восточный», освоение </w:t>
      </w:r>
      <w:proofErr w:type="spellStart"/>
      <w:r>
        <w:t>Албынского</w:t>
      </w:r>
      <w:proofErr w:type="spellEnd"/>
      <w:r>
        <w:t xml:space="preserve">, </w:t>
      </w:r>
      <w:proofErr w:type="spellStart"/>
      <w:r>
        <w:t>Маломырского</w:t>
      </w:r>
      <w:proofErr w:type="spellEnd"/>
      <w:r>
        <w:t xml:space="preserve"> и </w:t>
      </w:r>
      <w:proofErr w:type="spellStart"/>
      <w:r>
        <w:t>Яно</w:t>
      </w:r>
      <w:proofErr w:type="spellEnd"/>
      <w:r>
        <w:t xml:space="preserve">-Колымского золоторудных месторождений, освоение </w:t>
      </w:r>
      <w:proofErr w:type="spellStart"/>
      <w:r>
        <w:t>Кимканского</w:t>
      </w:r>
      <w:proofErr w:type="spellEnd"/>
      <w:r>
        <w:t xml:space="preserve"> и </w:t>
      </w:r>
      <w:proofErr w:type="spellStart"/>
      <w:r>
        <w:t>Сутарского</w:t>
      </w:r>
      <w:proofErr w:type="spellEnd"/>
      <w:r>
        <w:t xml:space="preserve"> месторождений железной руды, реализация инвестиционных программ «РЖД», «Газпрома», «Роснефти» и «</w:t>
      </w:r>
      <w:proofErr w:type="spellStart"/>
      <w:r>
        <w:t>РусГидро</w:t>
      </w:r>
      <w:proofErr w:type="spellEnd"/>
      <w:r>
        <w:t>».</w:t>
      </w:r>
    </w:p>
    <w:p w:rsidR="00852223" w:rsidRDefault="00852223" w:rsidP="00852223">
      <w:pPr>
        <w:pStyle w:val="a7"/>
        <w:jc w:val="both"/>
      </w:pPr>
      <w:hyperlink r:id="rId7" w:history="1">
        <w:r w:rsidRPr="005B3B13">
          <w:rPr>
            <w:rStyle w:val="a3"/>
          </w:rPr>
          <w:t>http://ria.ru/economy/20160810/1474073534.html#ixzz4H0drvjm8</w:t>
        </w:r>
      </w:hyperlink>
    </w:p>
    <w:p w:rsidR="00334AEF" w:rsidRDefault="00334AEF" w:rsidP="00334AEF">
      <w:pPr>
        <w:pStyle w:val="a7"/>
        <w:jc w:val="both"/>
        <w:rPr>
          <w:b/>
        </w:rPr>
      </w:pPr>
    </w:p>
    <w:p w:rsidR="00334AEF" w:rsidRPr="004D5B9A" w:rsidRDefault="00334AEF" w:rsidP="00334AEF">
      <w:pPr>
        <w:pStyle w:val="a7"/>
        <w:jc w:val="both"/>
        <w:rPr>
          <w:b/>
        </w:rPr>
      </w:pPr>
    </w:p>
    <w:p w:rsidR="00334AEF" w:rsidRPr="004D5B9A" w:rsidRDefault="00334AEF" w:rsidP="00334AEF">
      <w:pPr>
        <w:pStyle w:val="a7"/>
        <w:jc w:val="both"/>
        <w:rPr>
          <w:b/>
        </w:rPr>
      </w:pPr>
      <w:r w:rsidRPr="004D5B9A">
        <w:rPr>
          <w:b/>
        </w:rPr>
        <w:t xml:space="preserve">РЖД в январе-июле вложили 11,6 </w:t>
      </w:r>
      <w:proofErr w:type="gramStart"/>
      <w:r w:rsidRPr="004D5B9A">
        <w:rPr>
          <w:b/>
        </w:rPr>
        <w:t>млрд</w:t>
      </w:r>
      <w:proofErr w:type="gramEnd"/>
      <w:r w:rsidRPr="004D5B9A">
        <w:rPr>
          <w:b/>
        </w:rPr>
        <w:t xml:space="preserve"> руб. в развитие инфраструктуры Октябрьской железной дороги</w:t>
      </w:r>
    </w:p>
    <w:p w:rsidR="00334AEF" w:rsidRDefault="00334AEF" w:rsidP="00334AEF">
      <w:pPr>
        <w:pStyle w:val="a7"/>
        <w:jc w:val="both"/>
      </w:pPr>
      <w:r>
        <w:t xml:space="preserve">ОАО «Российские железные дороги» в январе-июле 2016 года вложило в проекты на полигоне Октябрьской железной дороги 11,6 </w:t>
      </w:r>
      <w:proofErr w:type="gramStart"/>
      <w:r>
        <w:t>млрд</w:t>
      </w:r>
      <w:proofErr w:type="gramEnd"/>
      <w:r>
        <w:t xml:space="preserve"> рублей, сообщает пресс-служба ОЖД.</w:t>
      </w:r>
    </w:p>
    <w:p w:rsidR="00334AEF" w:rsidRDefault="00334AEF" w:rsidP="00334AEF">
      <w:pPr>
        <w:pStyle w:val="a7"/>
        <w:jc w:val="both"/>
      </w:pPr>
      <w:hyperlink r:id="rId8" w:history="1">
        <w:r w:rsidRPr="005B3B13">
          <w:rPr>
            <w:rStyle w:val="a3"/>
          </w:rPr>
          <w:t>http://www.interfax-russia.ru/NorthWest/news.asp?id=752954&amp;sec=1679</w:t>
        </w:r>
      </w:hyperlink>
    </w:p>
    <w:p w:rsidR="00334AEF" w:rsidRDefault="00334AEF" w:rsidP="00334AEF">
      <w:pPr>
        <w:pStyle w:val="a7"/>
        <w:jc w:val="both"/>
        <w:rPr>
          <w:b/>
        </w:rPr>
      </w:pPr>
      <w:r w:rsidRPr="004D5B9A">
        <w:rPr>
          <w:b/>
        </w:rPr>
        <w:t xml:space="preserve"> </w:t>
      </w:r>
    </w:p>
    <w:p w:rsidR="00334AEF" w:rsidRDefault="00334AEF" w:rsidP="00334AEF">
      <w:pPr>
        <w:pStyle w:val="a7"/>
        <w:jc w:val="both"/>
        <w:rPr>
          <w:b/>
        </w:rPr>
      </w:pPr>
    </w:p>
    <w:p w:rsidR="00334AEF" w:rsidRPr="004D5B9A" w:rsidRDefault="00334AEF" w:rsidP="00334AEF">
      <w:pPr>
        <w:pStyle w:val="a7"/>
        <w:jc w:val="both"/>
        <w:rPr>
          <w:b/>
        </w:rPr>
      </w:pPr>
      <w:r w:rsidRPr="004D5B9A">
        <w:rPr>
          <w:b/>
        </w:rPr>
        <w:t xml:space="preserve">«Аэроэкспресс» в I полугодии увеличил чистую прибыль по РСБУ на 25,5%, до 450,4 </w:t>
      </w:r>
      <w:proofErr w:type="gramStart"/>
      <w:r w:rsidRPr="004D5B9A">
        <w:rPr>
          <w:b/>
        </w:rPr>
        <w:t>млн</w:t>
      </w:r>
      <w:proofErr w:type="gramEnd"/>
      <w:r w:rsidRPr="004D5B9A">
        <w:rPr>
          <w:b/>
        </w:rPr>
        <w:t xml:space="preserve"> рублей</w:t>
      </w:r>
    </w:p>
    <w:p w:rsidR="00334AEF" w:rsidRDefault="00334AEF" w:rsidP="00334AEF">
      <w:pPr>
        <w:pStyle w:val="a7"/>
        <w:jc w:val="both"/>
      </w:pPr>
      <w:r>
        <w:t xml:space="preserve">Чистая прибыль «Аэроэкспресса» по российским стандартам бухгалтерского учета за первое полугодие 2016 года выросла по сравнению с аналогичным периодом годом ранее на 25,5% и достигла 450,4 </w:t>
      </w:r>
      <w:proofErr w:type="gramStart"/>
      <w:r>
        <w:t>млн</w:t>
      </w:r>
      <w:proofErr w:type="gramEnd"/>
      <w:r>
        <w:t xml:space="preserve"> рублей, говорится в отчете к</w:t>
      </w:r>
      <w:r>
        <w:rPr>
          <w:rFonts w:hint="eastAsia"/>
        </w:rPr>
        <w:t>омпании</w:t>
      </w:r>
      <w:r>
        <w:t>.</w:t>
      </w:r>
    </w:p>
    <w:p w:rsidR="00334AEF" w:rsidRDefault="00334AEF" w:rsidP="00334AEF">
      <w:pPr>
        <w:pStyle w:val="a7"/>
        <w:jc w:val="both"/>
      </w:pPr>
      <w:hyperlink r:id="rId9" w:history="1">
        <w:r w:rsidRPr="005B3B13">
          <w:rPr>
            <w:rStyle w:val="a3"/>
          </w:rPr>
          <w:t>http://tass.ru/transport/3526968</w:t>
        </w:r>
      </w:hyperlink>
    </w:p>
    <w:p w:rsidR="00334AEF" w:rsidRDefault="00334AEF" w:rsidP="004D5B9A">
      <w:pPr>
        <w:pStyle w:val="a7"/>
        <w:jc w:val="both"/>
        <w:rPr>
          <w:b/>
        </w:rPr>
      </w:pPr>
    </w:p>
    <w:p w:rsidR="004D5B9A" w:rsidRPr="004D5B9A" w:rsidRDefault="004D5B9A" w:rsidP="004D5B9A">
      <w:pPr>
        <w:pStyle w:val="a7"/>
        <w:jc w:val="both"/>
        <w:rPr>
          <w:b/>
        </w:rPr>
      </w:pPr>
    </w:p>
    <w:p w:rsidR="004D5B9A" w:rsidRPr="004D5B9A" w:rsidRDefault="004D5B9A" w:rsidP="004D5B9A">
      <w:pPr>
        <w:pStyle w:val="a7"/>
        <w:jc w:val="both"/>
        <w:rPr>
          <w:b/>
        </w:rPr>
      </w:pPr>
      <w:r w:rsidRPr="004D5B9A">
        <w:rPr>
          <w:b/>
        </w:rPr>
        <w:t>Полезное удлинение</w:t>
      </w:r>
    </w:p>
    <w:p w:rsidR="004D5B9A" w:rsidRDefault="004D5B9A" w:rsidP="004D5B9A">
      <w:pPr>
        <w:pStyle w:val="a7"/>
        <w:jc w:val="both"/>
      </w:pPr>
      <w:r>
        <w:t xml:space="preserve">Реконструируются станции участка, соединяющего БАМ и Транссиб. На участке Волочаевка-2 – Комсомольск-на-Амуре, соединяющем северный широтный и транссибирский ход Дальневосточной дороги, реконструирована станция Болонь. В ходе модернизации, которая велась в рамках программы развития Восточного полигона сети, четыре </w:t>
      </w:r>
      <w:proofErr w:type="spellStart"/>
      <w:proofErr w:type="gramStart"/>
      <w:r>
        <w:t>приёмо</w:t>
      </w:r>
      <w:proofErr w:type="spellEnd"/>
      <w:r>
        <w:t>-отправочных</w:t>
      </w:r>
      <w:proofErr w:type="gramEnd"/>
      <w:r>
        <w:t xml:space="preserve"> пути удлинены до полезной длины 74 условных вагона и выше, уточнил </w:t>
      </w:r>
      <w:proofErr w:type="spellStart"/>
      <w:r>
        <w:t>и.о</w:t>
      </w:r>
      <w:proofErr w:type="spellEnd"/>
      <w:r>
        <w:t xml:space="preserve">. начальника станции Денис </w:t>
      </w:r>
      <w:proofErr w:type="spellStart"/>
      <w:r>
        <w:t>Семенюк</w:t>
      </w:r>
      <w:proofErr w:type="spellEnd"/>
      <w:r>
        <w:t xml:space="preserve">.  Реконструкцию выполнило </w:t>
      </w:r>
      <w:r w:rsidRPr="007535B7">
        <w:t>ПАО «</w:t>
      </w:r>
      <w:proofErr w:type="spellStart"/>
      <w:r w:rsidRPr="007535B7">
        <w:t>Бамстроймеханизация</w:t>
      </w:r>
      <w:proofErr w:type="spellEnd"/>
      <w:r w:rsidRPr="007535B7">
        <w:t>».</w:t>
      </w:r>
      <w:r>
        <w:t xml:space="preserve"> Для удлинения путей, в частности, механизированная колонна переработала 120 тыс. куб. м грунта.</w:t>
      </w:r>
    </w:p>
    <w:p w:rsidR="004D5B9A" w:rsidRDefault="004D5B9A" w:rsidP="004D5B9A">
      <w:pPr>
        <w:pStyle w:val="a7"/>
        <w:jc w:val="both"/>
      </w:pPr>
      <w:hyperlink r:id="rId10" w:history="1">
        <w:r w:rsidRPr="005B3B13">
          <w:rPr>
            <w:rStyle w:val="a3"/>
          </w:rPr>
          <w:t>http://www.gudok.ru/newspaper/?ID=1346631&amp;archive=2016.08.11</w:t>
        </w:r>
      </w:hyperlink>
    </w:p>
    <w:p w:rsidR="004D5B9A" w:rsidRDefault="004D5B9A" w:rsidP="004D5B9A">
      <w:pPr>
        <w:pStyle w:val="a7"/>
        <w:jc w:val="both"/>
      </w:pPr>
    </w:p>
    <w:p w:rsidR="00852223" w:rsidRDefault="00852223" w:rsidP="00852223">
      <w:pPr>
        <w:pStyle w:val="a7"/>
        <w:jc w:val="both"/>
      </w:pPr>
    </w:p>
    <w:p w:rsidR="00334AEF" w:rsidRDefault="00334AEF" w:rsidP="00334AEF">
      <w:pPr>
        <w:pStyle w:val="a7"/>
        <w:jc w:val="both"/>
        <w:rPr>
          <w:b/>
        </w:rPr>
      </w:pPr>
    </w:p>
    <w:p w:rsidR="00334AEF" w:rsidRPr="00852223" w:rsidRDefault="00334AEF" w:rsidP="00334AEF">
      <w:pPr>
        <w:pStyle w:val="a7"/>
        <w:jc w:val="both"/>
        <w:rPr>
          <w:b/>
        </w:rPr>
      </w:pPr>
      <w:r w:rsidRPr="00852223">
        <w:rPr>
          <w:b/>
        </w:rPr>
        <w:t>Единственный мост в Тынде не справляется с возросшим потоком автомобилей</w:t>
      </w:r>
    </w:p>
    <w:p w:rsidR="00334AEF" w:rsidRDefault="00334AEF" w:rsidP="00334AEF">
      <w:pPr>
        <w:pStyle w:val="a7"/>
        <w:jc w:val="both"/>
      </w:pPr>
      <w:r>
        <w:t xml:space="preserve">В Тынде отремонтировали автомобильный мост через одноименную реку. Правда, модернизация коснулась лишь проезжей части. Металлическая конструкция </w:t>
      </w:r>
      <w:proofErr w:type="gramStart"/>
      <w:r>
        <w:t>по прежнему</w:t>
      </w:r>
      <w:proofErr w:type="gramEnd"/>
      <w:r>
        <w:t xml:space="preserve"> стоит в очереди на капитальное восстановление. А водители считают, что городу нужна как минимум еще одна переправа. Будет ли второй мост, выяснял наш корреспондент.  «</w:t>
      </w:r>
      <w:proofErr w:type="gramStart"/>
      <w:r>
        <w:t>Возможно</w:t>
      </w:r>
      <w:proofErr w:type="gramEnd"/>
      <w:r>
        <w:t xml:space="preserve"> все отремонтировать. Просто этот мост не попадает под капитальные ремонты, УПРДОР «Лена» не может заложить сюда капитальный ремонт моста, хотя этот вопрос они с </w:t>
      </w:r>
      <w:proofErr w:type="spellStart"/>
      <w:r>
        <w:t>Росавтодором</w:t>
      </w:r>
      <w:proofErr w:type="spellEnd"/>
      <w:r>
        <w:t xml:space="preserve">, по-моему, просматривают. Но чтобы здесь ремонт заложить, надо придумать, как здесь ездить. Все очень сложно», - поясняет руководитель проекта </w:t>
      </w:r>
      <w:r w:rsidRPr="007535B7">
        <w:t>ОАО «</w:t>
      </w:r>
      <w:proofErr w:type="spellStart"/>
      <w:r w:rsidRPr="007535B7">
        <w:t>Бамстроймеханизация</w:t>
      </w:r>
      <w:proofErr w:type="spellEnd"/>
      <w:r w:rsidRPr="007535B7">
        <w:t>»</w:t>
      </w:r>
      <w:r>
        <w:t xml:space="preserve"> по</w:t>
      </w:r>
      <w:r>
        <w:t xml:space="preserve"> содержанию федеральной трассы «Лена»</w:t>
      </w:r>
      <w:r>
        <w:t xml:space="preserve"> Василий Зверев.</w:t>
      </w:r>
    </w:p>
    <w:p w:rsidR="00334AEF" w:rsidRDefault="00334AEF" w:rsidP="00334AEF">
      <w:pPr>
        <w:pStyle w:val="a7"/>
        <w:jc w:val="both"/>
      </w:pPr>
      <w:hyperlink r:id="rId11" w:history="1">
        <w:r w:rsidRPr="005B3B13">
          <w:rPr>
            <w:rStyle w:val="a3"/>
          </w:rPr>
          <w:t>http://gtrkamur.ru/news/2016/08/11/18434</w:t>
        </w:r>
      </w:hyperlink>
    </w:p>
    <w:p w:rsidR="00334AEF" w:rsidRDefault="00334AEF" w:rsidP="00852223">
      <w:pPr>
        <w:pStyle w:val="a7"/>
        <w:jc w:val="both"/>
        <w:rPr>
          <w:b/>
        </w:rPr>
      </w:pPr>
    </w:p>
    <w:p w:rsidR="00334AEF" w:rsidRDefault="00334AEF" w:rsidP="00852223">
      <w:pPr>
        <w:pStyle w:val="a7"/>
        <w:jc w:val="both"/>
        <w:rPr>
          <w:b/>
        </w:rPr>
      </w:pPr>
      <w:bookmarkStart w:id="0" w:name="_GoBack"/>
      <w:bookmarkEnd w:id="0"/>
    </w:p>
    <w:p w:rsidR="00852223" w:rsidRPr="00852223" w:rsidRDefault="00852223" w:rsidP="00852223">
      <w:pPr>
        <w:pStyle w:val="a7"/>
        <w:jc w:val="both"/>
        <w:rPr>
          <w:b/>
        </w:rPr>
      </w:pPr>
      <w:r w:rsidRPr="00852223">
        <w:rPr>
          <w:b/>
        </w:rPr>
        <w:t>Проект покажут архитекторам</w:t>
      </w:r>
    </w:p>
    <w:p w:rsidR="00852223" w:rsidRDefault="00852223" w:rsidP="00852223">
      <w:pPr>
        <w:pStyle w:val="a7"/>
        <w:jc w:val="both"/>
      </w:pPr>
      <w:r>
        <w:t>Проект реконструкции железнодорожного вокзала Сургута приобретает реальные очертания. Сегодня, 11 августа, документы разработчиков рассмотрят на заседании городского архитектурно-художественного совета.</w:t>
      </w:r>
    </w:p>
    <w:p w:rsidR="00852223" w:rsidRDefault="00852223" w:rsidP="00852223">
      <w:pPr>
        <w:pStyle w:val="a7"/>
        <w:jc w:val="both"/>
      </w:pPr>
      <w:hyperlink r:id="rId12" w:history="1">
        <w:r w:rsidRPr="005B3B13">
          <w:rPr>
            <w:rStyle w:val="a3"/>
          </w:rPr>
          <w:t>http://pravdaurfo.ru/news/138102-rekonstrukciyu-zheleznodorozhnogo-vokzala-v</w:t>
        </w:r>
      </w:hyperlink>
    </w:p>
    <w:p w:rsidR="00852223" w:rsidRDefault="00852223" w:rsidP="00852223">
      <w:pPr>
        <w:pStyle w:val="a7"/>
        <w:jc w:val="both"/>
      </w:pPr>
    </w:p>
    <w:p w:rsidR="00334AEF" w:rsidRDefault="00334AEF" w:rsidP="00852223">
      <w:pPr>
        <w:pStyle w:val="a7"/>
        <w:jc w:val="both"/>
      </w:pPr>
    </w:p>
    <w:p w:rsidR="00334AEF" w:rsidRPr="004D5B9A" w:rsidRDefault="00334AEF" w:rsidP="00334AEF">
      <w:pPr>
        <w:pStyle w:val="a7"/>
        <w:jc w:val="both"/>
        <w:rPr>
          <w:b/>
        </w:rPr>
      </w:pPr>
      <w:r w:rsidRPr="004D5B9A">
        <w:rPr>
          <w:b/>
        </w:rPr>
        <w:t>Движение по Московскому центральному кольцу откроют 10 сентября</w:t>
      </w:r>
    </w:p>
    <w:p w:rsidR="00334AEF" w:rsidRDefault="00334AEF" w:rsidP="00334AEF">
      <w:pPr>
        <w:pStyle w:val="a7"/>
        <w:jc w:val="both"/>
      </w:pPr>
      <w:r>
        <w:t>Пассажирские поезда начнут курсировать по Московскому центральному кольцу (МЦК, ранее МКЖД — Московская кольцевая железная дорога) 10 сентября 2016 года. Об этом сообщил первы</w:t>
      </w:r>
      <w:r>
        <w:t>й заместитель руководителя ГУП «Московский метрополитен»</w:t>
      </w:r>
      <w:r>
        <w:t xml:space="preserve"> Роман </w:t>
      </w:r>
      <w:proofErr w:type="spellStart"/>
      <w:r>
        <w:t>Латыпов</w:t>
      </w:r>
      <w:proofErr w:type="spellEnd"/>
      <w:r>
        <w:t xml:space="preserve">. Напомним, проект по реконструкции и электрификации кольца, по которому ранее ходили грузовые поезда, реализуется столичной мэрией и РЖД с 2011 года. Общая смета проекта составила 236,9 </w:t>
      </w:r>
      <w:proofErr w:type="gramStart"/>
      <w:r>
        <w:t>млрд</w:t>
      </w:r>
      <w:proofErr w:type="gramEnd"/>
      <w:r>
        <w:t xml:space="preserve"> руб. На кольце предусмотрен 31 остановочный пункт, все станции связаны с наземным городским общественным транспортом или со станциями метро.</w:t>
      </w:r>
    </w:p>
    <w:p w:rsidR="00334AEF" w:rsidRDefault="00334AEF" w:rsidP="00334AEF">
      <w:pPr>
        <w:pStyle w:val="a7"/>
        <w:jc w:val="both"/>
      </w:pPr>
      <w:hyperlink r:id="rId13" w:history="1">
        <w:r w:rsidRPr="005B3B13">
          <w:rPr>
            <w:rStyle w:val="a3"/>
          </w:rPr>
          <w:t>http://www.kommersant.ru/doc/3060322</w:t>
        </w:r>
      </w:hyperlink>
    </w:p>
    <w:p w:rsidR="00334AEF" w:rsidRDefault="00334AEF" w:rsidP="00334AEF">
      <w:pPr>
        <w:pStyle w:val="a7"/>
        <w:jc w:val="both"/>
        <w:rPr>
          <w:b/>
        </w:rPr>
      </w:pPr>
    </w:p>
    <w:p w:rsidR="00334AEF" w:rsidRDefault="00334AEF" w:rsidP="00334AEF">
      <w:pPr>
        <w:pStyle w:val="a7"/>
        <w:jc w:val="both"/>
        <w:rPr>
          <w:b/>
        </w:rPr>
      </w:pPr>
    </w:p>
    <w:p w:rsidR="00334AEF" w:rsidRPr="004D5B9A" w:rsidRDefault="00334AEF" w:rsidP="00334AEF">
      <w:pPr>
        <w:pStyle w:val="a7"/>
        <w:jc w:val="both"/>
        <w:rPr>
          <w:b/>
        </w:rPr>
      </w:pPr>
      <w:r w:rsidRPr="004D5B9A">
        <w:rPr>
          <w:b/>
        </w:rPr>
        <w:t>Кадровые перемены</w:t>
      </w:r>
    </w:p>
    <w:p w:rsidR="00334AEF" w:rsidRDefault="00334AEF" w:rsidP="00334AEF">
      <w:pPr>
        <w:pStyle w:val="a7"/>
        <w:jc w:val="both"/>
      </w:pPr>
      <w:r>
        <w:t xml:space="preserve">Совет директоров ФК «Локомотив» 10 августа удовлетворил заявление Ольги </w:t>
      </w:r>
      <w:proofErr w:type="spellStart"/>
      <w:r>
        <w:t>Смородской</w:t>
      </w:r>
      <w:proofErr w:type="spellEnd"/>
      <w:r>
        <w:t xml:space="preserve"> о досрочном прекращении полномочий в должности президента футбольного клуба. Новым главой клуба </w:t>
      </w:r>
      <w:proofErr w:type="gramStart"/>
      <w:r>
        <w:t>назначен</w:t>
      </w:r>
      <w:proofErr w:type="gramEnd"/>
      <w:r>
        <w:t xml:space="preserve"> Илья </w:t>
      </w:r>
      <w:proofErr w:type="spellStart"/>
      <w:r>
        <w:t>Геркус</w:t>
      </w:r>
      <w:proofErr w:type="spellEnd"/>
      <w:r>
        <w:t>.</w:t>
      </w:r>
    </w:p>
    <w:p w:rsidR="00334AEF" w:rsidRDefault="00334AEF" w:rsidP="00334AEF">
      <w:pPr>
        <w:pStyle w:val="a7"/>
        <w:jc w:val="both"/>
      </w:pPr>
      <w:hyperlink r:id="rId14" w:history="1">
        <w:r w:rsidRPr="005B3B13">
          <w:rPr>
            <w:rStyle w:val="a3"/>
          </w:rPr>
          <w:t>http://www.gudok.ru/newspaper/?ID=1346643&amp;archive=2016.08.11</w:t>
        </w:r>
      </w:hyperlink>
    </w:p>
    <w:p w:rsidR="00852223" w:rsidRPr="00D9641E" w:rsidRDefault="00852223" w:rsidP="00852223">
      <w:pPr>
        <w:pStyle w:val="a7"/>
        <w:jc w:val="both"/>
      </w:pPr>
    </w:p>
    <w:sectPr w:rsidR="00852223" w:rsidRPr="00D9641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22FA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6A1D"/>
    <w:rsid w:val="001E0279"/>
    <w:rsid w:val="001E197F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33"/>
    <w:rsid w:val="00296559"/>
    <w:rsid w:val="00297888"/>
    <w:rsid w:val="002A6A27"/>
    <w:rsid w:val="002A72A0"/>
    <w:rsid w:val="002B6568"/>
    <w:rsid w:val="002C0E55"/>
    <w:rsid w:val="002C18D3"/>
    <w:rsid w:val="002C1DBC"/>
    <w:rsid w:val="002C36C1"/>
    <w:rsid w:val="002C3DDB"/>
    <w:rsid w:val="002C43BE"/>
    <w:rsid w:val="002C6792"/>
    <w:rsid w:val="002C6CCB"/>
    <w:rsid w:val="002C7985"/>
    <w:rsid w:val="002D04C8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1539"/>
    <w:rsid w:val="003228B1"/>
    <w:rsid w:val="00326B55"/>
    <w:rsid w:val="00326EAD"/>
    <w:rsid w:val="003311AC"/>
    <w:rsid w:val="00331BD6"/>
    <w:rsid w:val="00333B55"/>
    <w:rsid w:val="00334AEF"/>
    <w:rsid w:val="00335637"/>
    <w:rsid w:val="00335F81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B737D"/>
    <w:rsid w:val="004C69FF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1FFA"/>
    <w:rsid w:val="00673985"/>
    <w:rsid w:val="006742F9"/>
    <w:rsid w:val="0067561F"/>
    <w:rsid w:val="00684262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5B7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4135"/>
    <w:rsid w:val="00845DB7"/>
    <w:rsid w:val="00852223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6DB6"/>
    <w:rsid w:val="00936ECE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05FC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85D17"/>
    <w:rsid w:val="00D87214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-russia.ru/NorthWest/news.asp?id=752954&amp;sec=1679" TargetMode="External"/><Relationship Id="rId13" Type="http://schemas.openxmlformats.org/officeDocument/2006/relationships/hyperlink" Target="http://www.kommersant.ru/doc/30603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a.ru/economy/20160810/1474073534.html#ixzz4H0drvjm8" TargetMode="External"/><Relationship Id="rId12" Type="http://schemas.openxmlformats.org/officeDocument/2006/relationships/hyperlink" Target="http://pravdaurfo.ru/news/138102-rekonstrukciyu-zheleznodorozhnogo-vokzala-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g.ru/2016/08/10/pravitelstvo-soglasovalo-koncessiiu-o-stroitelstve-zhd-infrastruktury.html" TargetMode="External"/><Relationship Id="rId11" Type="http://schemas.openxmlformats.org/officeDocument/2006/relationships/hyperlink" Target="http://gtrkamur.ru/news/2016/08/11/184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dok.ru/newspaper/?ID=1346631&amp;archive=2016.08.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transport/3526968" TargetMode="External"/><Relationship Id="rId14" Type="http://schemas.openxmlformats.org/officeDocument/2006/relationships/hyperlink" Target="http://www.gudok.ru/newspaper/?ID=1346643&amp;archive=2016.08.1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97CF-C758-422B-A249-556B813E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2016-08-11T08:31:00Z</dcterms:created>
  <dcterms:modified xsi:type="dcterms:W3CDTF">2016-08-11T08:31:00Z</dcterms:modified>
</cp:coreProperties>
</file>